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E571" w14:textId="77777777" w:rsidR="00251344" w:rsidRDefault="00251344" w:rsidP="0024531C">
      <w:pPr>
        <w:pStyle w:val="Heading1"/>
        <w:jc w:val="right"/>
        <w:rPr>
          <w:i/>
          <w:sz w:val="24"/>
        </w:rPr>
      </w:pPr>
      <w:r w:rsidRPr="00332022">
        <w:rPr>
          <w:i/>
          <w:sz w:val="24"/>
        </w:rPr>
        <w:t>Position Description</w:t>
      </w:r>
    </w:p>
    <w:p w14:paraId="5AF2E429" w14:textId="77777777" w:rsidR="00251344" w:rsidRDefault="00251344" w:rsidP="00251344"/>
    <w:p w14:paraId="2DE72CDA" w14:textId="77777777" w:rsidR="00251344" w:rsidRPr="00D1715D" w:rsidRDefault="00251344" w:rsidP="00251344"/>
    <w:p w14:paraId="18B07EA4" w14:textId="77777777" w:rsidR="00251344" w:rsidRDefault="00251344" w:rsidP="00FB66A9">
      <w:pPr>
        <w:widowControl w:val="0"/>
        <w:tabs>
          <w:tab w:val="left" w:pos="19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1944" w:hanging="1944"/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  <w:r w:rsidRPr="001C3BB3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Purpose</w:t>
      </w:r>
      <w:r w:rsidRPr="00992C77">
        <w:rPr>
          <w:rFonts w:ascii="Arial" w:hAnsi="Arial"/>
          <w:b/>
          <w:snapToGrid w:val="0"/>
          <w:color w:val="000000"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725990321"/>
        <w:placeholder>
          <w:docPart w:val="DefaultPlaceholder_1081868574"/>
        </w:placeholder>
      </w:sdtPr>
      <w:sdtEndPr/>
      <w:sdtContent>
        <w:p w14:paraId="2322CF37" w14:textId="5BC08CF9" w:rsidR="008D3656" w:rsidRPr="00430C2B" w:rsidRDefault="008D3656" w:rsidP="008D3656">
          <w:pPr>
            <w:rPr>
              <w:i/>
              <w:iCs/>
            </w:rPr>
          </w:pPr>
          <w:r>
            <w:rPr>
              <w:rFonts w:ascii="Arial" w:hAnsi="Arial" w:cs="Arial"/>
              <w:sz w:val="22"/>
              <w:szCs w:val="22"/>
            </w:rPr>
            <w:t xml:space="preserve">The </w:t>
          </w:r>
          <w:r w:rsidR="003D511E">
            <w:rPr>
              <w:rFonts w:ascii="Arial" w:hAnsi="Arial" w:cs="Arial"/>
              <w:sz w:val="22"/>
              <w:szCs w:val="22"/>
            </w:rPr>
            <w:t xml:space="preserve">Counsel and </w:t>
          </w:r>
          <w:r w:rsidR="00184EFD">
            <w:rPr>
              <w:rFonts w:ascii="Arial" w:hAnsi="Arial" w:cs="Arial"/>
              <w:sz w:val="22"/>
              <w:szCs w:val="22"/>
            </w:rPr>
            <w:t xml:space="preserve">Corporate Secretary </w:t>
          </w:r>
          <w:r>
            <w:rPr>
              <w:rFonts w:ascii="Arial" w:hAnsi="Arial" w:cs="Arial"/>
              <w:sz w:val="22"/>
              <w:szCs w:val="22"/>
            </w:rPr>
            <w:t>maintains the Bank’s official corporate documents, serves as the focal point for communication</w:t>
          </w:r>
          <w:r w:rsidR="001D09AD">
            <w:rPr>
              <w:rFonts w:ascii="Arial" w:hAnsi="Arial" w:cs="Arial"/>
              <w:sz w:val="22"/>
              <w:szCs w:val="22"/>
            </w:rPr>
            <w:t>s</w:t>
          </w:r>
          <w:r>
            <w:rPr>
              <w:rFonts w:ascii="Arial" w:hAnsi="Arial" w:cs="Arial"/>
              <w:sz w:val="22"/>
              <w:szCs w:val="22"/>
            </w:rPr>
            <w:t xml:space="preserve"> with the Board of Directors, and </w:t>
          </w:r>
          <w:r w:rsidR="008E638C">
            <w:rPr>
              <w:rFonts w:ascii="Arial" w:hAnsi="Arial" w:cs="Arial"/>
              <w:sz w:val="22"/>
              <w:szCs w:val="22"/>
            </w:rPr>
            <w:t>provide</w:t>
          </w:r>
          <w:r w:rsidR="001D09AD">
            <w:rPr>
              <w:rFonts w:ascii="Arial" w:hAnsi="Arial" w:cs="Arial"/>
              <w:sz w:val="22"/>
              <w:szCs w:val="22"/>
            </w:rPr>
            <w:t>s</w:t>
          </w:r>
          <w:r w:rsidR="008E638C">
            <w:rPr>
              <w:rFonts w:ascii="Arial" w:hAnsi="Arial" w:cs="Arial"/>
              <w:sz w:val="22"/>
              <w:szCs w:val="22"/>
            </w:rPr>
            <w:t xml:space="preserve"> </w:t>
          </w:r>
          <w:r w:rsidR="008E638C" w:rsidRPr="008E638C">
            <w:rPr>
              <w:rFonts w:ascii="Arial" w:hAnsi="Arial" w:cs="Arial"/>
              <w:sz w:val="22"/>
              <w:szCs w:val="22"/>
            </w:rPr>
            <w:t xml:space="preserve">guidance on </w:t>
          </w:r>
          <w:r w:rsidR="00184EFD">
            <w:rPr>
              <w:rFonts w:ascii="Arial" w:hAnsi="Arial" w:cs="Arial"/>
              <w:sz w:val="22"/>
              <w:szCs w:val="22"/>
            </w:rPr>
            <w:t>board and corporate governance</w:t>
          </w:r>
          <w:r w:rsidR="008E638C" w:rsidRPr="008E638C">
            <w:rPr>
              <w:rFonts w:ascii="Arial" w:hAnsi="Arial" w:cs="Arial"/>
              <w:sz w:val="22"/>
              <w:szCs w:val="22"/>
            </w:rPr>
            <w:t xml:space="preserve"> matters </w:t>
          </w:r>
          <w:r w:rsidR="008E638C">
            <w:rPr>
              <w:rFonts w:ascii="Arial" w:hAnsi="Arial" w:cs="Arial"/>
              <w:sz w:val="22"/>
              <w:szCs w:val="22"/>
            </w:rPr>
            <w:t xml:space="preserve">for the Bank </w:t>
          </w:r>
          <w:r w:rsidR="001D09AD">
            <w:rPr>
              <w:rFonts w:ascii="Arial" w:hAnsi="Arial" w:cs="Arial"/>
              <w:sz w:val="22"/>
              <w:szCs w:val="22"/>
            </w:rPr>
            <w:t xml:space="preserve">- </w:t>
          </w:r>
          <w:r w:rsidR="008E638C" w:rsidRPr="008E638C">
            <w:rPr>
              <w:rFonts w:ascii="Arial" w:hAnsi="Arial" w:cs="Arial"/>
              <w:sz w:val="22"/>
              <w:szCs w:val="22"/>
            </w:rPr>
            <w:t xml:space="preserve">including </w:t>
          </w:r>
          <w:r w:rsidR="00184EFD">
            <w:rPr>
              <w:rFonts w:ascii="Arial" w:hAnsi="Arial" w:cs="Arial"/>
              <w:sz w:val="22"/>
              <w:szCs w:val="22"/>
            </w:rPr>
            <w:t>the Boar</w:t>
          </w:r>
          <w:r w:rsidR="001D09AD">
            <w:rPr>
              <w:rFonts w:ascii="Arial" w:hAnsi="Arial" w:cs="Arial"/>
              <w:sz w:val="22"/>
              <w:szCs w:val="22"/>
            </w:rPr>
            <w:t>d</w:t>
          </w:r>
          <w:r w:rsidR="00184EFD">
            <w:rPr>
              <w:rFonts w:ascii="Arial" w:hAnsi="Arial" w:cs="Arial"/>
              <w:sz w:val="22"/>
              <w:szCs w:val="22"/>
            </w:rPr>
            <w:t>, its committees, director elections, management committees, and governance matters generally</w:t>
          </w:r>
          <w:r w:rsidR="008E638C">
            <w:rPr>
              <w:rFonts w:ascii="Arial" w:hAnsi="Arial" w:cs="Arial"/>
              <w:sz w:val="22"/>
              <w:szCs w:val="22"/>
            </w:rPr>
            <w:t xml:space="preserve">. </w:t>
          </w:r>
          <w:r w:rsidR="003029F1">
            <w:rPr>
              <w:rFonts w:ascii="Arial" w:hAnsi="Arial" w:cs="Arial"/>
              <w:sz w:val="22"/>
              <w:szCs w:val="22"/>
            </w:rPr>
            <w:t xml:space="preserve">As Counsel, this individual </w:t>
          </w:r>
          <w:r w:rsidR="008E638C">
            <w:rPr>
              <w:rFonts w:ascii="Arial" w:hAnsi="Arial" w:cs="Arial"/>
              <w:sz w:val="22"/>
              <w:szCs w:val="22"/>
            </w:rPr>
            <w:t xml:space="preserve">will also be responsible for </w:t>
          </w:r>
          <w:r w:rsidR="001D09AD">
            <w:rPr>
              <w:rFonts w:ascii="Arial" w:hAnsi="Arial" w:cs="Arial"/>
              <w:sz w:val="22"/>
              <w:szCs w:val="22"/>
            </w:rPr>
            <w:t xml:space="preserve">managing both legal and compliance matters as assigned, including </w:t>
          </w:r>
          <w:r w:rsidR="008E638C">
            <w:rPr>
              <w:rFonts w:ascii="Arial" w:hAnsi="Arial" w:cs="Arial"/>
              <w:sz w:val="22"/>
              <w:szCs w:val="22"/>
            </w:rPr>
            <w:t xml:space="preserve">reviewing/analyzing/drafting contracts and transaction </w:t>
          </w:r>
          <w:proofErr w:type="gramStart"/>
          <w:r w:rsidR="008E638C">
            <w:rPr>
              <w:rFonts w:ascii="Arial" w:hAnsi="Arial" w:cs="Arial"/>
              <w:sz w:val="22"/>
              <w:szCs w:val="22"/>
            </w:rPr>
            <w:t>agreements</w:t>
          </w:r>
          <w:proofErr w:type="gramEnd"/>
          <w:r w:rsidR="008E638C">
            <w:rPr>
              <w:rFonts w:ascii="Arial" w:hAnsi="Arial" w:cs="Arial"/>
              <w:sz w:val="22"/>
              <w:szCs w:val="22"/>
            </w:rPr>
            <w:t xml:space="preserve"> and providing </w:t>
          </w:r>
          <w:r w:rsidR="008E638C" w:rsidRPr="008E638C">
            <w:rPr>
              <w:rFonts w:ascii="Arial" w:hAnsi="Arial" w:cs="Arial"/>
              <w:sz w:val="22"/>
              <w:szCs w:val="22"/>
            </w:rPr>
            <w:t xml:space="preserve">legal advice to </w:t>
          </w:r>
          <w:r w:rsidR="008E638C">
            <w:rPr>
              <w:rFonts w:ascii="Arial" w:hAnsi="Arial" w:cs="Arial"/>
              <w:sz w:val="22"/>
              <w:szCs w:val="22"/>
            </w:rPr>
            <w:t xml:space="preserve">the Bank’s internal clients, including </w:t>
          </w:r>
          <w:r w:rsidR="00184EFD">
            <w:rPr>
              <w:rFonts w:ascii="Arial" w:hAnsi="Arial" w:cs="Arial"/>
              <w:sz w:val="22"/>
              <w:szCs w:val="22"/>
            </w:rPr>
            <w:t xml:space="preserve">other members of the Legal Department, </w:t>
          </w:r>
          <w:r w:rsidR="008E638C" w:rsidRPr="008E638C">
            <w:rPr>
              <w:rFonts w:ascii="Arial" w:hAnsi="Arial" w:cs="Arial"/>
              <w:sz w:val="22"/>
              <w:szCs w:val="22"/>
            </w:rPr>
            <w:t>managers</w:t>
          </w:r>
          <w:r w:rsidR="00184EFD">
            <w:rPr>
              <w:rFonts w:ascii="Arial" w:hAnsi="Arial" w:cs="Arial"/>
              <w:sz w:val="22"/>
              <w:szCs w:val="22"/>
            </w:rPr>
            <w:t>,</w:t>
          </w:r>
          <w:r w:rsidR="00802CDF">
            <w:rPr>
              <w:rFonts w:ascii="Arial" w:hAnsi="Arial" w:cs="Arial"/>
              <w:sz w:val="22"/>
              <w:szCs w:val="22"/>
            </w:rPr>
            <w:t xml:space="preserve"> and</w:t>
          </w:r>
          <w:r w:rsidR="008E638C" w:rsidRPr="008E638C">
            <w:rPr>
              <w:rFonts w:ascii="Arial" w:hAnsi="Arial" w:cs="Arial"/>
              <w:sz w:val="22"/>
              <w:szCs w:val="22"/>
            </w:rPr>
            <w:t xml:space="preserve"> senior officers</w:t>
          </w:r>
          <w:r w:rsidR="001D09AD">
            <w:rPr>
              <w:rFonts w:ascii="Arial" w:hAnsi="Arial" w:cs="Arial"/>
              <w:sz w:val="22"/>
              <w:szCs w:val="22"/>
            </w:rPr>
            <w:t>.</w:t>
          </w:r>
          <w:r>
            <w:rPr>
              <w:i/>
              <w:iCs/>
            </w:rPr>
            <w:t xml:space="preserve"> </w:t>
          </w:r>
        </w:p>
        <w:p w14:paraId="45F70C14" w14:textId="0C10791B" w:rsidR="00361E6C" w:rsidRPr="001D09AD" w:rsidRDefault="00F90A5B" w:rsidP="00690641">
          <w:pPr>
            <w:widowControl w:val="0"/>
            <w:tabs>
              <w:tab w:val="left" w:pos="1843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 w:cs="Arial"/>
              <w:sz w:val="22"/>
              <w:szCs w:val="22"/>
            </w:rPr>
          </w:pPr>
        </w:p>
      </w:sdtContent>
    </w:sdt>
    <w:p w14:paraId="6174E1D5" w14:textId="2D966D30" w:rsidR="001D09AD" w:rsidRDefault="00BA0CD3" w:rsidP="001D09AD">
      <w:pPr>
        <w:widowControl w:val="0"/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2"/>
          <w:szCs w:val="22"/>
        </w:rPr>
      </w:pPr>
      <w:r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 xml:space="preserve">Specific </w:t>
      </w:r>
      <w:r w:rsidR="00251344" w:rsidRPr="004A1485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Responsibilities</w:t>
      </w:r>
      <w:r w:rsidR="00251344" w:rsidRPr="004A1485">
        <w:rPr>
          <w:rFonts w:ascii="Arial" w:hAnsi="Arial"/>
          <w:b/>
          <w:snapToGrid w:val="0"/>
          <w:color w:val="000000"/>
          <w:sz w:val="22"/>
          <w:szCs w:val="22"/>
        </w:rPr>
        <w:t>:</w:t>
      </w:r>
    </w:p>
    <w:p w14:paraId="5E0D8E57" w14:textId="77777777" w:rsidR="001D09AD" w:rsidRPr="00395C15" w:rsidRDefault="001D09AD" w:rsidP="001D09AD">
      <w:pPr>
        <w:widowControl w:val="0"/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5C089446" w14:textId="2BACF26F" w:rsidR="001D09AD" w:rsidRDefault="001D09AD" w:rsidP="001D09AD">
      <w:pPr>
        <w:spacing w:before="80" w:after="80"/>
        <w:rPr>
          <w:rFonts w:ascii="Arial" w:hAnsi="Arial" w:cs="Arial"/>
          <w:snapToGrid w:val="0"/>
          <w:color w:val="000000"/>
          <w:sz w:val="22"/>
          <w:szCs w:val="22"/>
        </w:rPr>
      </w:pPr>
      <w:r w:rsidRPr="00395C15">
        <w:rPr>
          <w:rFonts w:ascii="Arial" w:hAnsi="Arial" w:cs="Arial"/>
          <w:snapToGrid w:val="0"/>
          <w:color w:val="000000"/>
          <w:sz w:val="22"/>
          <w:szCs w:val="22"/>
        </w:rPr>
        <w:t xml:space="preserve">The following statements are intended to describe the </w:t>
      </w:r>
      <w:r w:rsidR="000A091D">
        <w:rPr>
          <w:rFonts w:ascii="Arial" w:hAnsi="Arial" w:cs="Arial"/>
          <w:snapToGrid w:val="0"/>
          <w:color w:val="000000"/>
          <w:sz w:val="22"/>
          <w:szCs w:val="22"/>
        </w:rPr>
        <w:t xml:space="preserve">essential and non-essential functions of </w:t>
      </w:r>
      <w:r w:rsidRPr="00395C15">
        <w:rPr>
          <w:rFonts w:ascii="Arial" w:hAnsi="Arial" w:cs="Arial"/>
          <w:snapToGrid w:val="0"/>
          <w:color w:val="000000"/>
          <w:sz w:val="22"/>
          <w:szCs w:val="22"/>
        </w:rPr>
        <w:t>the job</w:t>
      </w:r>
      <w:r w:rsidR="000A091D">
        <w:rPr>
          <w:rFonts w:ascii="Arial" w:hAnsi="Arial" w:cs="Arial"/>
          <w:snapToGrid w:val="0"/>
          <w:color w:val="000000"/>
          <w:sz w:val="22"/>
          <w:szCs w:val="22"/>
        </w:rPr>
        <w:t xml:space="preserve"> and </w:t>
      </w:r>
      <w:r w:rsidRPr="00395C15">
        <w:rPr>
          <w:rFonts w:ascii="Arial" w:hAnsi="Arial" w:cs="Arial"/>
          <w:snapToGrid w:val="0"/>
          <w:color w:val="000000"/>
          <w:sz w:val="22"/>
          <w:szCs w:val="22"/>
        </w:rPr>
        <w:t xml:space="preserve">are not intended to be </w:t>
      </w:r>
      <w:r w:rsidR="000A091D">
        <w:rPr>
          <w:rFonts w:ascii="Arial" w:hAnsi="Arial" w:cs="Arial"/>
          <w:snapToGrid w:val="0"/>
          <w:color w:val="000000"/>
          <w:sz w:val="22"/>
          <w:szCs w:val="22"/>
        </w:rPr>
        <w:t xml:space="preserve">a detailed or </w:t>
      </w:r>
      <w:r w:rsidRPr="00395C15">
        <w:rPr>
          <w:rFonts w:ascii="Arial" w:hAnsi="Arial" w:cs="Arial"/>
          <w:snapToGrid w:val="0"/>
          <w:color w:val="000000"/>
          <w:sz w:val="22"/>
          <w:szCs w:val="22"/>
        </w:rPr>
        <w:t xml:space="preserve">exhaustive list of all </w:t>
      </w:r>
      <w:r w:rsidR="000A091D">
        <w:rPr>
          <w:rFonts w:ascii="Arial" w:hAnsi="Arial" w:cs="Arial"/>
          <w:snapToGrid w:val="0"/>
          <w:color w:val="000000"/>
          <w:sz w:val="22"/>
          <w:szCs w:val="22"/>
        </w:rPr>
        <w:t xml:space="preserve">the required work that may be inherent in the job. </w:t>
      </w:r>
    </w:p>
    <w:p w14:paraId="526A2E15" w14:textId="4E76C9EC" w:rsidR="00BA0CD3" w:rsidRDefault="00BA0CD3" w:rsidP="001D09AD">
      <w:pPr>
        <w:spacing w:before="80" w:after="80"/>
        <w:rPr>
          <w:rFonts w:ascii="Arial" w:hAnsi="Arial" w:cs="Arial"/>
          <w:snapToGrid w:val="0"/>
          <w:color w:val="000000"/>
          <w:sz w:val="22"/>
          <w:szCs w:val="22"/>
        </w:rPr>
      </w:pPr>
    </w:p>
    <w:sdt>
      <w:sdtPr>
        <w:rPr>
          <w:rFonts w:ascii="Arial" w:hAnsi="Arial"/>
          <w:snapToGrid w:val="0"/>
          <w:color w:val="000000"/>
          <w:sz w:val="21"/>
          <w:szCs w:val="21"/>
        </w:rPr>
        <w:id w:val="-760757398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p w14:paraId="5A2427E7" w14:textId="77777777" w:rsidR="00BA0CD3" w:rsidRPr="003029F1" w:rsidRDefault="00BA0CD3" w:rsidP="00F673EF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 w:rsidRPr="003029F1">
            <w:rPr>
              <w:rFonts w:ascii="Arial" w:hAnsi="Arial"/>
              <w:snapToGrid w:val="0"/>
              <w:color w:val="000000"/>
              <w:sz w:val="22"/>
              <w:szCs w:val="22"/>
            </w:rPr>
            <w:t>Maintains the Bank’s official corporate documents.</w:t>
          </w:r>
        </w:p>
        <w:p w14:paraId="5A9800D6" w14:textId="77777777" w:rsidR="00BA0CD3" w:rsidRPr="003029F1" w:rsidRDefault="00184EFD" w:rsidP="00F673EF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 w:rsidRPr="003029F1">
            <w:rPr>
              <w:rFonts w:ascii="Arial" w:hAnsi="Arial"/>
              <w:snapToGrid w:val="0"/>
              <w:color w:val="000000"/>
              <w:sz w:val="22"/>
              <w:szCs w:val="22"/>
            </w:rPr>
            <w:t xml:space="preserve">Serves as </w:t>
          </w:r>
          <w:r w:rsidR="00BA0CD3" w:rsidRPr="003029F1">
            <w:rPr>
              <w:rFonts w:ascii="Arial" w:hAnsi="Arial"/>
              <w:snapToGrid w:val="0"/>
              <w:color w:val="000000"/>
              <w:sz w:val="22"/>
              <w:szCs w:val="22"/>
            </w:rPr>
            <w:t>the focal point for communication with the Board.</w:t>
          </w:r>
        </w:p>
        <w:p w14:paraId="74E4FFEC" w14:textId="49F0B257" w:rsidR="00BA0CD3" w:rsidRPr="003029F1" w:rsidRDefault="00BA0CD3" w:rsidP="00F673EF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 w:rsidRPr="003029F1">
            <w:rPr>
              <w:rFonts w:ascii="Arial" w:hAnsi="Arial"/>
              <w:snapToGrid w:val="0"/>
              <w:color w:val="000000"/>
              <w:sz w:val="22"/>
              <w:szCs w:val="22"/>
            </w:rPr>
            <w:t>Works with management and the Board to plan the Board agenda and oversees the production of timely, accurate, and relevant data and analyses for distribution to the Board.</w:t>
          </w:r>
        </w:p>
        <w:p w14:paraId="0B01573A" w14:textId="155841DD" w:rsidR="00BA0CD3" w:rsidRPr="003029F1" w:rsidRDefault="00BA0CD3" w:rsidP="00F673EF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 w:rsidRPr="003029F1">
            <w:rPr>
              <w:rFonts w:ascii="Arial" w:hAnsi="Arial"/>
              <w:snapToGrid w:val="0"/>
              <w:color w:val="000000"/>
              <w:sz w:val="22"/>
              <w:szCs w:val="22"/>
            </w:rPr>
            <w:t xml:space="preserve">Works with management to plan the Executive Management Committee agenda and oversees the production of timely, accurate, and relevant data and analyses for distribution to the EMC.  </w:t>
          </w:r>
        </w:p>
        <w:p w14:paraId="0A12282B" w14:textId="77777777" w:rsidR="00BA0CD3" w:rsidRPr="003029F1" w:rsidRDefault="00BA0CD3" w:rsidP="00F673EF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 w:rsidRPr="003029F1">
            <w:rPr>
              <w:rFonts w:ascii="Arial" w:hAnsi="Arial"/>
              <w:snapToGrid w:val="0"/>
              <w:color w:val="000000"/>
              <w:sz w:val="22"/>
              <w:szCs w:val="22"/>
            </w:rPr>
            <w:t xml:space="preserve">Attends and takes minutes during meetings of the Board and Board committees, as well as for the EMC and other management committees as assigned.  </w:t>
          </w:r>
        </w:p>
        <w:p w14:paraId="68F95C55" w14:textId="2A3DA18E" w:rsidR="00184EFD" w:rsidRPr="003029F1" w:rsidRDefault="00184EFD" w:rsidP="00802CDF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8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029F1">
            <w:rPr>
              <w:rFonts w:ascii="Arial" w:hAnsi="Arial" w:cs="Arial"/>
              <w:snapToGrid w:val="0"/>
              <w:color w:val="000000" w:themeColor="text1"/>
              <w:sz w:val="22"/>
              <w:szCs w:val="22"/>
            </w:rPr>
            <w:t>Supports the risk management process for the</w:t>
          </w:r>
          <w:r w:rsidR="003029F1" w:rsidRPr="003029F1">
            <w:rPr>
              <w:rFonts w:ascii="Arial" w:hAnsi="Arial" w:cs="Arial"/>
              <w:snapToGrid w:val="0"/>
              <w:color w:val="000000" w:themeColor="text1"/>
              <w:sz w:val="22"/>
              <w:szCs w:val="22"/>
            </w:rPr>
            <w:t xml:space="preserve"> Legal D</w:t>
          </w:r>
          <w:r w:rsidRPr="003029F1">
            <w:rPr>
              <w:rFonts w:ascii="Arial" w:hAnsi="Arial" w:cs="Arial"/>
              <w:snapToGrid w:val="0"/>
              <w:color w:val="000000" w:themeColor="text1"/>
              <w:sz w:val="22"/>
              <w:szCs w:val="22"/>
            </w:rPr>
            <w:t>epartment as directed.</w:t>
          </w:r>
        </w:p>
        <w:p w14:paraId="28029DA3" w14:textId="2B938679" w:rsidR="00184EFD" w:rsidRPr="003029F1" w:rsidRDefault="00184EFD" w:rsidP="00802CDF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80"/>
            <w:rPr>
              <w:rFonts w:ascii="Arial" w:hAnsi="Arial" w:cs="Arial"/>
              <w:snapToGrid w:val="0"/>
              <w:color w:val="000000" w:themeColor="text1"/>
              <w:sz w:val="22"/>
              <w:szCs w:val="22"/>
            </w:rPr>
          </w:pPr>
          <w:r w:rsidRPr="003029F1">
            <w:rPr>
              <w:rFonts w:ascii="Arial" w:hAnsi="Arial" w:cs="Arial"/>
              <w:snapToGrid w:val="0"/>
              <w:color w:val="000000" w:themeColor="text1"/>
              <w:sz w:val="22"/>
              <w:szCs w:val="22"/>
            </w:rPr>
            <w:t>Manages the production of corporate governance records (when applicable) for compliance with legal requirements, including any litigation, regulatory examination, audit requirements and other due diligence activities. </w:t>
          </w:r>
        </w:p>
        <w:p w14:paraId="559A97B3" w14:textId="733646D2" w:rsidR="00184EFD" w:rsidRPr="003029F1" w:rsidRDefault="00184EFD" w:rsidP="00802CDF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80"/>
            <w:rPr>
              <w:rStyle w:val="eop"/>
              <w:rFonts w:ascii="Arial" w:hAnsi="Arial" w:cs="Arial"/>
              <w:snapToGrid w:val="0"/>
              <w:color w:val="000000" w:themeColor="text1"/>
              <w:sz w:val="22"/>
              <w:szCs w:val="22"/>
            </w:rPr>
          </w:pPr>
          <w:r w:rsidRPr="003029F1">
            <w:rPr>
              <w:rStyle w:val="normaltextrun"/>
              <w:rFonts w:ascii="Arial" w:hAnsi="Arial" w:cs="Arial"/>
              <w:color w:val="000000" w:themeColor="text1"/>
              <w:sz w:val="22"/>
              <w:szCs w:val="22"/>
            </w:rPr>
            <w:t>Leads the Bank’s annual director election process, ensuring compliance with Federal Housing Finance Agency regulations.</w:t>
          </w:r>
          <w:r w:rsidRPr="003029F1">
            <w:rPr>
              <w:rStyle w:val="eop"/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14:paraId="0447E8AB" w14:textId="79FD7D91" w:rsidR="00D814D2" w:rsidRPr="003029F1" w:rsidRDefault="00D814D2" w:rsidP="00802CDF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80"/>
            <w:rPr>
              <w:rFonts w:ascii="Arial" w:hAnsi="Arial" w:cs="Arial"/>
              <w:snapToGrid w:val="0"/>
              <w:color w:val="000000" w:themeColor="text1"/>
              <w:sz w:val="22"/>
              <w:szCs w:val="22"/>
            </w:rPr>
          </w:pPr>
          <w:r w:rsidRPr="003029F1">
            <w:rPr>
              <w:rStyle w:val="eop"/>
              <w:rFonts w:ascii="Arial" w:hAnsi="Arial" w:cs="Arial"/>
              <w:color w:val="000000" w:themeColor="text1"/>
              <w:sz w:val="22"/>
              <w:szCs w:val="22"/>
            </w:rPr>
            <w:t>Provides legal support to the Bank’s Ethics Officers.</w:t>
          </w:r>
        </w:p>
        <w:p w14:paraId="6BCCAC58" w14:textId="51885427" w:rsidR="00EC51B4" w:rsidRPr="003029F1" w:rsidRDefault="00C76303" w:rsidP="003029F1">
          <w:pPr>
            <w:widowControl w:val="0"/>
            <w:numPr>
              <w:ilvl w:val="0"/>
              <w:numId w:val="22"/>
            </w:numPr>
            <w:tabs>
              <w:tab w:val="left" w:pos="103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80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 w:rsidRPr="003029F1">
            <w:rPr>
              <w:rFonts w:ascii="Arial" w:hAnsi="Arial" w:cs="Arial"/>
              <w:snapToGrid w:val="0"/>
              <w:color w:val="000000" w:themeColor="text1"/>
              <w:sz w:val="22"/>
              <w:szCs w:val="22"/>
            </w:rPr>
            <w:t>Advises management and renders opinions on legal matters affecting the Bank's operations</w:t>
          </w:r>
          <w:r w:rsidR="00802CDF" w:rsidRPr="003029F1">
            <w:rPr>
              <w:rFonts w:ascii="Arial" w:hAnsi="Arial" w:cs="Arial"/>
              <w:snapToGrid w:val="0"/>
              <w:color w:val="000000" w:themeColor="text1"/>
              <w:sz w:val="22"/>
              <w:szCs w:val="22"/>
            </w:rPr>
            <w:t xml:space="preserve"> and drafts or reviews</w:t>
          </w:r>
          <w:r w:rsidR="00802CDF" w:rsidRPr="003029F1">
            <w:rPr>
              <w:rFonts w:ascii="Arial" w:hAnsi="Arial"/>
              <w:snapToGrid w:val="0"/>
              <w:color w:val="000000" w:themeColor="text1"/>
              <w:sz w:val="22"/>
              <w:szCs w:val="22"/>
            </w:rPr>
            <w:t xml:space="preserve"> </w:t>
          </w:r>
          <w:r w:rsidR="00802CDF" w:rsidRPr="003029F1">
            <w:rPr>
              <w:rFonts w:ascii="Arial" w:hAnsi="Arial"/>
              <w:snapToGrid w:val="0"/>
              <w:color w:val="000000"/>
              <w:sz w:val="22"/>
              <w:szCs w:val="22"/>
            </w:rPr>
            <w:t>contracts of various types</w:t>
          </w:r>
          <w:r w:rsidR="000A091D" w:rsidRPr="003029F1">
            <w:rPr>
              <w:rFonts w:ascii="Arial" w:hAnsi="Arial"/>
              <w:snapToGrid w:val="0"/>
              <w:color w:val="000000"/>
              <w:sz w:val="22"/>
              <w:szCs w:val="22"/>
            </w:rPr>
            <w:t xml:space="preserve"> as assigned.  </w:t>
          </w:r>
        </w:p>
      </w:sdtContent>
    </w:sdt>
    <w:p w14:paraId="3AB530F1" w14:textId="3AE5E54E" w:rsidR="00C76303" w:rsidRPr="003029F1" w:rsidRDefault="00C76303" w:rsidP="000A091D">
      <w:pPr>
        <w:widowControl w:val="0"/>
        <w:numPr>
          <w:ilvl w:val="0"/>
          <w:numId w:val="22"/>
        </w:numPr>
        <w:tabs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 w:after="80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3029F1">
        <w:rPr>
          <w:rFonts w:ascii="Arial" w:hAnsi="Arial"/>
          <w:snapToGrid w:val="0"/>
          <w:color w:val="000000"/>
          <w:sz w:val="22"/>
          <w:szCs w:val="22"/>
        </w:rPr>
        <w:t>Other legal projects and duties as assigned.</w:t>
      </w:r>
    </w:p>
    <w:p w14:paraId="6B484FC2" w14:textId="4E3CEE4B" w:rsidR="00204A8E" w:rsidRPr="003029F1" w:rsidRDefault="000A091D" w:rsidP="005244CC">
      <w:pPr>
        <w:widowControl w:val="0"/>
        <w:numPr>
          <w:ilvl w:val="0"/>
          <w:numId w:val="22"/>
        </w:numPr>
        <w:tabs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3029F1">
        <w:rPr>
          <w:rFonts w:ascii="Arial" w:hAnsi="Arial"/>
          <w:snapToGrid w:val="0"/>
          <w:color w:val="000000"/>
          <w:sz w:val="22"/>
          <w:szCs w:val="22"/>
        </w:rPr>
        <w:t>Responsible for managing Board administrative and paralegal support.</w:t>
      </w:r>
    </w:p>
    <w:p w14:paraId="5028C1A2" w14:textId="77777777" w:rsidR="00C76303" w:rsidRPr="003A65C8" w:rsidRDefault="00C76303" w:rsidP="00395C15">
      <w:pPr>
        <w:pStyle w:val="ListParagraph"/>
        <w:spacing w:before="120" w:after="120"/>
        <w:contextualSpacing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14:paraId="758729AE" w14:textId="77777777" w:rsidR="0062417C" w:rsidRDefault="0062417C" w:rsidP="0062417C">
      <w:pPr>
        <w:widowControl w:val="0"/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5D56EDC6" w14:textId="77777777" w:rsidR="00FB66A9" w:rsidRPr="004A1485" w:rsidRDefault="00251344" w:rsidP="00FB66A9">
      <w:pPr>
        <w:widowControl w:val="0"/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2"/>
          <w:szCs w:val="22"/>
        </w:rPr>
      </w:pPr>
      <w:r w:rsidRPr="00EF655D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Position Requirements</w:t>
      </w:r>
      <w:r w:rsidR="00E13591" w:rsidRPr="00EF655D">
        <w:rPr>
          <w:rFonts w:ascii="Arial" w:hAnsi="Arial"/>
          <w:b/>
          <w:snapToGrid w:val="0"/>
          <w:color w:val="000000"/>
          <w:sz w:val="22"/>
          <w:szCs w:val="22"/>
        </w:rPr>
        <w:t>:</w:t>
      </w:r>
    </w:p>
    <w:sdt>
      <w:sdtPr>
        <w:rPr>
          <w:rFonts w:ascii="Arial" w:hAnsi="Arial"/>
          <w:snapToGrid w:val="0"/>
          <w:color w:val="000000"/>
          <w:sz w:val="22"/>
          <w:szCs w:val="22"/>
        </w:rPr>
        <w:id w:val="-690837263"/>
        <w:placeholder>
          <w:docPart w:val="3DBC6C6F001C479A9056F5A1E1B67A68"/>
        </w:placeholder>
      </w:sdtPr>
      <w:sdtEndPr/>
      <w:sdtContent>
        <w:p w14:paraId="5B1F0703" w14:textId="3C781AD6" w:rsidR="00EA78B0" w:rsidRDefault="002F6D79" w:rsidP="00FB66A9">
          <w:pPr>
            <w:widowControl w:val="0"/>
            <w:numPr>
              <w:ilvl w:val="0"/>
              <w:numId w:val="11"/>
            </w:numPr>
            <w:tabs>
              <w:tab w:val="left" w:pos="1843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>
            <w:rPr>
              <w:rFonts w:ascii="Arial" w:hAnsi="Arial"/>
              <w:snapToGrid w:val="0"/>
              <w:color w:val="000000"/>
              <w:sz w:val="22"/>
              <w:szCs w:val="22"/>
            </w:rPr>
            <w:t xml:space="preserve">JD Degree </w:t>
          </w:r>
          <w:r w:rsidR="001548F4">
            <w:rPr>
              <w:rFonts w:ascii="Arial" w:hAnsi="Arial"/>
              <w:snapToGrid w:val="0"/>
              <w:color w:val="000000"/>
              <w:sz w:val="22"/>
              <w:szCs w:val="22"/>
            </w:rPr>
            <w:t xml:space="preserve">required </w:t>
          </w:r>
          <w:r>
            <w:rPr>
              <w:rFonts w:ascii="Arial" w:hAnsi="Arial"/>
              <w:snapToGrid w:val="0"/>
              <w:color w:val="000000"/>
              <w:sz w:val="22"/>
              <w:szCs w:val="22"/>
            </w:rPr>
            <w:t>and graduate or undergraduate degree</w:t>
          </w:r>
          <w:r w:rsidR="003029F1">
            <w:rPr>
              <w:rFonts w:ascii="Arial" w:hAnsi="Arial"/>
              <w:snapToGrid w:val="0"/>
              <w:color w:val="000000"/>
              <w:sz w:val="22"/>
              <w:szCs w:val="22"/>
            </w:rPr>
            <w:t>, preferably</w:t>
          </w:r>
          <w:r>
            <w:rPr>
              <w:rFonts w:ascii="Arial" w:hAnsi="Arial"/>
              <w:snapToGrid w:val="0"/>
              <w:color w:val="000000"/>
              <w:sz w:val="22"/>
              <w:szCs w:val="22"/>
            </w:rPr>
            <w:t xml:space="preserve"> in business or accounting</w:t>
          </w:r>
          <w:r w:rsidR="00EA78B0">
            <w:rPr>
              <w:rFonts w:ascii="Arial" w:hAnsi="Arial"/>
              <w:snapToGrid w:val="0"/>
              <w:color w:val="000000"/>
              <w:sz w:val="22"/>
              <w:szCs w:val="22"/>
            </w:rPr>
            <w:t xml:space="preserve">.  </w:t>
          </w:r>
        </w:p>
        <w:p w14:paraId="6AEC9E9E" w14:textId="59A04176" w:rsidR="00FB66A9" w:rsidRDefault="001548F4" w:rsidP="00FB66A9">
          <w:pPr>
            <w:widowControl w:val="0"/>
            <w:numPr>
              <w:ilvl w:val="0"/>
              <w:numId w:val="11"/>
            </w:numPr>
            <w:tabs>
              <w:tab w:val="left" w:pos="1843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>
            <w:rPr>
              <w:rFonts w:ascii="Arial" w:hAnsi="Arial"/>
              <w:snapToGrid w:val="0"/>
              <w:color w:val="000000"/>
              <w:sz w:val="22"/>
              <w:szCs w:val="22"/>
            </w:rPr>
            <w:t>M</w:t>
          </w:r>
          <w:r w:rsidR="000A091D">
            <w:rPr>
              <w:rFonts w:ascii="Arial" w:hAnsi="Arial"/>
              <w:snapToGrid w:val="0"/>
              <w:color w:val="000000"/>
              <w:sz w:val="22"/>
              <w:szCs w:val="22"/>
            </w:rPr>
            <w:t>ust be a</w:t>
          </w:r>
          <w:r w:rsidR="00EA78B0">
            <w:rPr>
              <w:rFonts w:ascii="Arial" w:hAnsi="Arial"/>
              <w:snapToGrid w:val="0"/>
              <w:color w:val="000000"/>
              <w:sz w:val="22"/>
              <w:szCs w:val="22"/>
            </w:rPr>
            <w:t>dmitted to practice in a state bar, preferably in Indiana.</w:t>
          </w:r>
        </w:p>
      </w:sdtContent>
    </w:sdt>
    <w:sdt>
      <w:sdtPr>
        <w:rPr>
          <w:snapToGrid w:val="0"/>
        </w:rPr>
        <w:id w:val="1981726311"/>
        <w:placeholder>
          <w:docPart w:val="3DBC6C6F001C479A9056F5A1E1B67A68"/>
        </w:placeholder>
      </w:sdtPr>
      <w:sdtEndPr/>
      <w:sdtContent>
        <w:p w14:paraId="6D9DA01F" w14:textId="66AA5E7A" w:rsidR="00D12DDD" w:rsidRPr="00D12DDD" w:rsidRDefault="002F6D79" w:rsidP="00FB66A9">
          <w:pPr>
            <w:pStyle w:val="ListParagraph"/>
            <w:widowControl w:val="0"/>
            <w:numPr>
              <w:ilvl w:val="0"/>
              <w:numId w:val="11"/>
            </w:numPr>
            <w:tabs>
              <w:tab w:val="left" w:pos="1843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contextualSpacing w:val="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>
            <w:rPr>
              <w:rFonts w:ascii="Arial" w:hAnsi="Arial" w:cs="Arial"/>
              <w:snapToGrid w:val="0"/>
              <w:sz w:val="22"/>
              <w:szCs w:val="22"/>
            </w:rPr>
            <w:t>Knowledge of</w:t>
          </w:r>
          <w:r w:rsidR="00184EFD">
            <w:rPr>
              <w:rFonts w:ascii="Arial" w:hAnsi="Arial" w:cs="Arial"/>
              <w:snapToGrid w:val="0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napToGrid w:val="0"/>
              <w:sz w:val="22"/>
              <w:szCs w:val="22"/>
            </w:rPr>
            <w:t xml:space="preserve">corporate </w:t>
          </w:r>
          <w:r w:rsidR="00D814D2">
            <w:rPr>
              <w:rFonts w:ascii="Arial" w:hAnsi="Arial" w:cs="Arial"/>
              <w:snapToGrid w:val="0"/>
              <w:sz w:val="22"/>
              <w:szCs w:val="22"/>
            </w:rPr>
            <w:t xml:space="preserve">governance </w:t>
          </w:r>
          <w:r w:rsidR="00D12DDD">
            <w:rPr>
              <w:rFonts w:ascii="Arial" w:hAnsi="Arial" w:cs="Arial"/>
              <w:snapToGrid w:val="0"/>
              <w:sz w:val="22"/>
              <w:szCs w:val="22"/>
            </w:rPr>
            <w:t>and board operations required</w:t>
          </w:r>
          <w:r w:rsidR="008653D8">
            <w:rPr>
              <w:rFonts w:ascii="Arial" w:hAnsi="Arial" w:cs="Arial"/>
              <w:snapToGrid w:val="0"/>
              <w:sz w:val="22"/>
              <w:szCs w:val="22"/>
            </w:rPr>
            <w:t>.</w:t>
          </w:r>
        </w:p>
        <w:p w14:paraId="06975ED6" w14:textId="395F77F5" w:rsidR="00D814D2" w:rsidRPr="00D814D2" w:rsidRDefault="008653D8" w:rsidP="00FB66A9">
          <w:pPr>
            <w:pStyle w:val="ListParagraph"/>
            <w:widowControl w:val="0"/>
            <w:numPr>
              <w:ilvl w:val="0"/>
              <w:numId w:val="11"/>
            </w:numPr>
            <w:tabs>
              <w:tab w:val="left" w:pos="1843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contextualSpacing w:val="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>
            <w:rPr>
              <w:rFonts w:ascii="Arial" w:hAnsi="Arial" w:cs="Arial"/>
              <w:snapToGrid w:val="0"/>
              <w:sz w:val="22"/>
              <w:szCs w:val="22"/>
            </w:rPr>
            <w:t xml:space="preserve">Knowledge of </w:t>
          </w:r>
          <w:r w:rsidR="00184EFD">
            <w:rPr>
              <w:rFonts w:ascii="Arial" w:hAnsi="Arial" w:cs="Arial"/>
              <w:snapToGrid w:val="0"/>
              <w:sz w:val="22"/>
              <w:szCs w:val="22"/>
            </w:rPr>
            <w:t xml:space="preserve">SEC reporting and governance regulations, banking </w:t>
          </w:r>
          <w:r>
            <w:rPr>
              <w:rFonts w:ascii="Arial" w:hAnsi="Arial" w:cs="Arial"/>
              <w:snapToGrid w:val="0"/>
              <w:sz w:val="22"/>
              <w:szCs w:val="22"/>
            </w:rPr>
            <w:t xml:space="preserve">and </w:t>
          </w:r>
          <w:r w:rsidR="00184EFD">
            <w:rPr>
              <w:rFonts w:ascii="Arial" w:hAnsi="Arial" w:cs="Arial"/>
              <w:snapToGrid w:val="0"/>
              <w:sz w:val="22"/>
              <w:szCs w:val="22"/>
            </w:rPr>
            <w:t xml:space="preserve">secured transaction </w:t>
          </w:r>
          <w:r>
            <w:rPr>
              <w:rFonts w:ascii="Arial" w:hAnsi="Arial" w:cs="Arial"/>
              <w:snapToGrid w:val="0"/>
              <w:sz w:val="22"/>
              <w:szCs w:val="22"/>
            </w:rPr>
            <w:t>a plus.</w:t>
          </w:r>
        </w:p>
        <w:p w14:paraId="128DFD80" w14:textId="6572F0F6" w:rsidR="00FB66A9" w:rsidRPr="00204A8E" w:rsidRDefault="00D814D2" w:rsidP="00FB66A9">
          <w:pPr>
            <w:pStyle w:val="ListParagraph"/>
            <w:widowControl w:val="0"/>
            <w:numPr>
              <w:ilvl w:val="0"/>
              <w:numId w:val="11"/>
            </w:numPr>
            <w:tabs>
              <w:tab w:val="left" w:pos="1843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80" w:after="80"/>
            <w:contextualSpacing w:val="0"/>
            <w:jc w:val="both"/>
            <w:rPr>
              <w:rFonts w:ascii="Arial" w:hAnsi="Arial"/>
              <w:snapToGrid w:val="0"/>
              <w:color w:val="000000"/>
              <w:sz w:val="22"/>
              <w:szCs w:val="22"/>
            </w:rPr>
          </w:pPr>
          <w:r>
            <w:rPr>
              <w:rFonts w:ascii="Arial" w:hAnsi="Arial" w:cs="Arial"/>
              <w:snapToGrid w:val="0"/>
              <w:sz w:val="22"/>
              <w:szCs w:val="22"/>
            </w:rPr>
            <w:t xml:space="preserve">Contract drafting experience </w:t>
          </w:r>
          <w:r w:rsidR="000A091D">
            <w:rPr>
              <w:rFonts w:ascii="Arial" w:hAnsi="Arial" w:cs="Arial"/>
              <w:snapToGrid w:val="0"/>
              <w:sz w:val="22"/>
              <w:szCs w:val="22"/>
            </w:rPr>
            <w:t xml:space="preserve">and/or contract management </w:t>
          </w:r>
          <w:r>
            <w:rPr>
              <w:rFonts w:ascii="Arial" w:hAnsi="Arial" w:cs="Arial"/>
              <w:snapToGrid w:val="0"/>
              <w:sz w:val="22"/>
              <w:szCs w:val="22"/>
            </w:rPr>
            <w:t>a plus.</w:t>
          </w:r>
        </w:p>
      </w:sdtContent>
    </w:sdt>
    <w:p w14:paraId="6C42D2C4" w14:textId="40418598" w:rsidR="00FB66A9" w:rsidRDefault="002F6D79" w:rsidP="00FB66A9">
      <w:pPr>
        <w:pStyle w:val="ListParagraph"/>
        <w:numPr>
          <w:ilvl w:val="0"/>
          <w:numId w:val="11"/>
        </w:numPr>
        <w:spacing w:before="80" w:after="80"/>
        <w:contextualSpacing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Minimum of </w:t>
      </w:r>
      <w:r w:rsidR="00D814D2">
        <w:rPr>
          <w:rFonts w:ascii="Arial" w:hAnsi="Arial"/>
          <w:snapToGrid w:val="0"/>
          <w:color w:val="000000"/>
          <w:sz w:val="22"/>
          <w:szCs w:val="22"/>
        </w:rPr>
        <w:t>four</w:t>
      </w:r>
      <w:r w:rsidR="00184EFD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years’ </w:t>
      </w:r>
      <w:r w:rsidR="00184EFD">
        <w:rPr>
          <w:rFonts w:ascii="Arial" w:hAnsi="Arial"/>
          <w:snapToGrid w:val="0"/>
          <w:color w:val="000000"/>
          <w:sz w:val="22"/>
          <w:szCs w:val="22"/>
        </w:rPr>
        <w:t>law firm</w:t>
      </w:r>
      <w:r w:rsidR="000A091D">
        <w:rPr>
          <w:rFonts w:ascii="Arial" w:hAnsi="Arial"/>
          <w:snapToGrid w:val="0"/>
          <w:color w:val="000000"/>
          <w:sz w:val="22"/>
          <w:szCs w:val="22"/>
        </w:rPr>
        <w:t>, in-house, government</w:t>
      </w:r>
      <w:r w:rsidR="00184EFD">
        <w:rPr>
          <w:rFonts w:ascii="Arial" w:hAnsi="Arial"/>
          <w:snapToGrid w:val="0"/>
          <w:color w:val="000000"/>
          <w:sz w:val="22"/>
          <w:szCs w:val="22"/>
        </w:rPr>
        <w:t xml:space="preserve"> or </w:t>
      </w:r>
      <w:r>
        <w:rPr>
          <w:rFonts w:ascii="Arial" w:hAnsi="Arial"/>
          <w:snapToGrid w:val="0"/>
          <w:color w:val="000000"/>
          <w:sz w:val="22"/>
          <w:szCs w:val="22"/>
        </w:rPr>
        <w:t>equivalent experience.</w:t>
      </w:r>
    </w:p>
    <w:p w14:paraId="2E817121" w14:textId="4035E169" w:rsidR="00D12DDD" w:rsidRDefault="00D12DDD" w:rsidP="00D12DDD">
      <w:pPr>
        <w:pStyle w:val="ListParagraph"/>
        <w:numPr>
          <w:ilvl w:val="0"/>
          <w:numId w:val="11"/>
        </w:numPr>
        <w:spacing w:before="80" w:after="80"/>
        <w:contextualSpacing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Management of others a plus. </w:t>
      </w:r>
    </w:p>
    <w:p w14:paraId="454181F1" w14:textId="5996F2CC" w:rsidR="00AE4533" w:rsidRDefault="00AE4533" w:rsidP="00FB66A9">
      <w:pPr>
        <w:pStyle w:val="ListParagraph"/>
        <w:numPr>
          <w:ilvl w:val="0"/>
          <w:numId w:val="11"/>
        </w:numPr>
        <w:spacing w:before="80" w:after="80"/>
        <w:contextualSpacing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Strong verbal and written communication skills</w:t>
      </w:r>
      <w:r w:rsidR="000A091D">
        <w:rPr>
          <w:rFonts w:ascii="Arial" w:hAnsi="Arial"/>
          <w:snapToGrid w:val="0"/>
          <w:color w:val="000000"/>
          <w:sz w:val="22"/>
          <w:szCs w:val="22"/>
        </w:rPr>
        <w:t xml:space="preserve"> required</w:t>
      </w:r>
      <w:r>
        <w:rPr>
          <w:rFonts w:ascii="Arial" w:hAnsi="Arial"/>
          <w:snapToGrid w:val="0"/>
          <w:color w:val="000000"/>
          <w:sz w:val="22"/>
          <w:szCs w:val="22"/>
        </w:rPr>
        <w:t>.</w:t>
      </w:r>
    </w:p>
    <w:p w14:paraId="7D22D74F" w14:textId="77777777" w:rsidR="00AE4533" w:rsidRDefault="00AE4533" w:rsidP="00FB66A9">
      <w:pPr>
        <w:pStyle w:val="ListParagraph"/>
        <w:numPr>
          <w:ilvl w:val="0"/>
          <w:numId w:val="11"/>
        </w:numPr>
        <w:spacing w:before="80" w:after="80"/>
        <w:contextualSpacing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Must not have been convicted of any civil or criminal charge that would suggest a risk to Bank security.</w:t>
      </w:r>
    </w:p>
    <w:p w14:paraId="3CAAECF5" w14:textId="06A1D086" w:rsidR="00FB66A9" w:rsidRDefault="00AE4533" w:rsidP="00FB66A9">
      <w:pPr>
        <w:pStyle w:val="ListParagraph"/>
        <w:numPr>
          <w:ilvl w:val="0"/>
          <w:numId w:val="11"/>
        </w:numPr>
        <w:spacing w:before="80" w:after="80"/>
        <w:contextualSpacing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Ability to work full-time</w:t>
      </w:r>
      <w:r w:rsidR="000A091D">
        <w:rPr>
          <w:rFonts w:ascii="Arial" w:hAnsi="Arial"/>
          <w:snapToGrid w:val="0"/>
          <w:color w:val="000000"/>
          <w:sz w:val="22"/>
          <w:szCs w:val="22"/>
        </w:rPr>
        <w:t xml:space="preserve"> and </w:t>
      </w:r>
      <w:r w:rsidR="00D12DDD">
        <w:rPr>
          <w:rFonts w:ascii="Arial" w:hAnsi="Arial"/>
          <w:snapToGrid w:val="0"/>
          <w:color w:val="000000"/>
          <w:sz w:val="22"/>
          <w:szCs w:val="22"/>
        </w:rPr>
        <w:t>in compliance with Bank’s remote work policies.</w:t>
      </w:r>
    </w:p>
    <w:p w14:paraId="258FE0EB" w14:textId="04ED2492" w:rsidR="005E22A9" w:rsidRDefault="005E22A9" w:rsidP="005E22A9">
      <w:pPr>
        <w:widowControl w:val="0"/>
        <w:numPr>
          <w:ilvl w:val="0"/>
          <w:numId w:val="11"/>
        </w:numPr>
        <w:tabs>
          <w:tab w:val="left" w:pos="10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exac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Ability to uphold and model the bank’s guiding principles.</w:t>
      </w:r>
    </w:p>
    <w:p w14:paraId="18A0AF09" w14:textId="0D777688" w:rsidR="003D511E" w:rsidRDefault="003D511E" w:rsidP="003D511E">
      <w:pPr>
        <w:widowControl w:val="0"/>
        <w:tabs>
          <w:tab w:val="left" w:pos="10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exact"/>
        <w:rPr>
          <w:rFonts w:ascii="Arial" w:hAnsi="Arial"/>
          <w:snapToGrid w:val="0"/>
          <w:color w:val="000000"/>
          <w:sz w:val="22"/>
          <w:szCs w:val="22"/>
        </w:rPr>
      </w:pPr>
    </w:p>
    <w:p w14:paraId="3B0AF7FA" w14:textId="02F57C64" w:rsidR="003D511E" w:rsidRDefault="003D511E" w:rsidP="003D511E">
      <w:pPr>
        <w:widowControl w:val="0"/>
        <w:tabs>
          <w:tab w:val="left" w:pos="10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exac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FHLBank Indianapolis is an equal opportunity employer.</w:t>
      </w:r>
    </w:p>
    <w:p w14:paraId="2BEFB217" w14:textId="77777777" w:rsidR="005E22A9" w:rsidRPr="005E22A9" w:rsidRDefault="005E22A9" w:rsidP="005E22A9">
      <w:pPr>
        <w:spacing w:before="80" w:after="80"/>
        <w:ind w:left="360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14:paraId="04514534" w14:textId="77777777" w:rsidR="00FB66A9" w:rsidRDefault="00FB66A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6FEA6C2D" w14:textId="0F44E280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60B20E8E" w14:textId="29E5576C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5E578B0C" w14:textId="5F7E29C4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06153F50" w14:textId="782AA43F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16EBE9F8" w14:textId="737B83EA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6480AA62" w14:textId="37154D8A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474C7C1A" w14:textId="5C41CA89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6303C27C" w14:textId="2248EB49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627719FF" w14:textId="0E2D3A9C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782E2685" w14:textId="1D88B0D5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1FF4A03E" w14:textId="06B41B3B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46855C75" w14:textId="0538CCEC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6F1A3A18" w14:textId="5C33AC0B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455C0F9E" w14:textId="77CFF045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7F417907" w14:textId="0DCD0C63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0E60FBC6" w14:textId="39A78B2F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6B936303" w14:textId="104A5B3C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0F9ACB11" w14:textId="406CFC7B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301EC217" w14:textId="2708CA2B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174096FC" w14:textId="23ED0057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5632C553" w14:textId="74C8D212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57300355" w14:textId="67FCCB63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68138A4D" w14:textId="50AD970B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2E88707E" w14:textId="4350500A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7B1B674C" w14:textId="6556BC61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4B85B320" w14:textId="63359CF4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1AD31DAD" w14:textId="302631F1" w:rsidR="00BA6129" w:rsidRDefault="00BA6129" w:rsidP="00710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szCs w:val="22"/>
        </w:rPr>
      </w:pPr>
    </w:p>
    <w:sectPr w:rsidR="00BA6129" w:rsidSect="00245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5211" w14:textId="77777777" w:rsidR="00F90A5B" w:rsidRDefault="00F90A5B" w:rsidP="00EF655D">
      <w:r>
        <w:separator/>
      </w:r>
    </w:p>
  </w:endnote>
  <w:endnote w:type="continuationSeparator" w:id="0">
    <w:p w14:paraId="53F60EF8" w14:textId="77777777" w:rsidR="00F90A5B" w:rsidRDefault="00F90A5B" w:rsidP="00EF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89C7" w14:textId="77777777" w:rsidR="00BA6129" w:rsidRDefault="00BA6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C066" w14:textId="7E389773" w:rsidR="0050575E" w:rsidRPr="0050575E" w:rsidRDefault="0050575E" w:rsidP="00BA612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1D71" w14:textId="77777777" w:rsidR="00BA6129" w:rsidRDefault="00BA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B1BB" w14:textId="77777777" w:rsidR="00F90A5B" w:rsidRDefault="00F90A5B" w:rsidP="00EF655D">
      <w:r>
        <w:separator/>
      </w:r>
    </w:p>
  </w:footnote>
  <w:footnote w:type="continuationSeparator" w:id="0">
    <w:p w14:paraId="425BF82A" w14:textId="77777777" w:rsidR="00F90A5B" w:rsidRDefault="00F90A5B" w:rsidP="00EF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2E50" w14:textId="77777777" w:rsidR="00BA6129" w:rsidRDefault="00BA6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E1B" w14:textId="77777777" w:rsidR="0024531C" w:rsidRDefault="0024531C" w:rsidP="0024531C">
    <w:pPr>
      <w:widowControl w:val="0"/>
      <w:tabs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1843" w:hanging="1843"/>
      <w:rPr>
        <w:rFonts w:ascii="Arial" w:hAnsi="Arial"/>
        <w:snapToGrid w:val="0"/>
        <w:color w:val="000000"/>
        <w:sz w:val="24"/>
      </w:rPr>
    </w:pPr>
  </w:p>
  <w:tbl>
    <w:tblPr>
      <w:tblStyle w:val="TableGrid"/>
      <w:tblW w:w="9810" w:type="dxa"/>
      <w:tblInd w:w="-185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10"/>
    </w:tblGrid>
    <w:tr w:rsidR="0024531C" w14:paraId="44719C06" w14:textId="77777777" w:rsidTr="02E26CAE">
      <w:tc>
        <w:tcPr>
          <w:tcW w:w="9810" w:type="dxa"/>
        </w:tcPr>
        <w:p w14:paraId="47CAA6E6" w14:textId="77777777" w:rsidR="0024531C" w:rsidRDefault="02E26CAE" w:rsidP="0024531C">
          <w:pPr>
            <w:widowControl w:val="0"/>
            <w:tabs>
              <w:tab w:val="left" w:pos="1843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120"/>
            <w:rPr>
              <w:rFonts w:ascii="Arial" w:hAnsi="Arial"/>
              <w:snapToGrid w:val="0"/>
              <w:color w:val="000000"/>
              <w:sz w:val="24"/>
            </w:rPr>
          </w:pPr>
          <w:r>
            <w:rPr>
              <w:noProof/>
            </w:rPr>
            <w:drawing>
              <wp:inline distT="0" distB="0" distL="0" distR="0" wp14:anchorId="0198333B" wp14:editId="54F519F5">
                <wp:extent cx="2476500" cy="659328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65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7B5D2F" w14:textId="77777777" w:rsidR="00EF655D" w:rsidRDefault="00EF655D" w:rsidP="0024531C">
    <w:pPr>
      <w:widowControl w:val="0"/>
      <w:tabs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rPr>
        <w:rFonts w:ascii="Arial" w:hAnsi="Arial"/>
        <w:snapToGrid w:val="0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D706" w14:textId="77777777" w:rsidR="00BA6129" w:rsidRDefault="00BA6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285"/>
    <w:multiLevelType w:val="singleLevel"/>
    <w:tmpl w:val="70D2BB9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" w15:restartNumberingAfterBreak="0">
    <w:nsid w:val="1BF1292E"/>
    <w:multiLevelType w:val="hybridMultilevel"/>
    <w:tmpl w:val="A75639DE"/>
    <w:lvl w:ilvl="0" w:tplc="48C65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E5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31AF3C6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4E447A"/>
    <w:multiLevelType w:val="singleLevel"/>
    <w:tmpl w:val="5DBEA9E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125"/>
      </w:pPr>
      <w:rPr>
        <w:rFonts w:hint="default"/>
      </w:rPr>
    </w:lvl>
  </w:abstractNum>
  <w:abstractNum w:abstractNumId="5" w15:restartNumberingAfterBreak="0">
    <w:nsid w:val="3A951BC3"/>
    <w:multiLevelType w:val="hybridMultilevel"/>
    <w:tmpl w:val="A07C3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A7BF1"/>
    <w:multiLevelType w:val="hybridMultilevel"/>
    <w:tmpl w:val="582C116A"/>
    <w:lvl w:ilvl="0" w:tplc="97CE3D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A3651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5CF5EF6"/>
    <w:multiLevelType w:val="hybridMultilevel"/>
    <w:tmpl w:val="9E0C9F5E"/>
    <w:lvl w:ilvl="0" w:tplc="CECE3834">
      <w:start w:val="5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C2F"/>
    <w:multiLevelType w:val="hybridMultilevel"/>
    <w:tmpl w:val="F4146DDA"/>
    <w:lvl w:ilvl="0" w:tplc="830E3CF4">
      <w:start w:val="1"/>
      <w:numFmt w:val="bullet"/>
      <w:lvlText w:val=""/>
      <w:lvlJc w:val="left"/>
      <w:pPr>
        <w:tabs>
          <w:tab w:val="num" w:pos="313"/>
        </w:tabs>
        <w:ind w:left="3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4B3C032D"/>
    <w:multiLevelType w:val="hybridMultilevel"/>
    <w:tmpl w:val="AA4823AA"/>
    <w:lvl w:ilvl="0" w:tplc="8C5E6FF0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C1054"/>
    <w:multiLevelType w:val="hybridMultilevel"/>
    <w:tmpl w:val="267CDE3A"/>
    <w:lvl w:ilvl="0" w:tplc="E4B69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3D1F"/>
    <w:multiLevelType w:val="hybridMultilevel"/>
    <w:tmpl w:val="0E2645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79F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4A07A0"/>
    <w:multiLevelType w:val="hybridMultilevel"/>
    <w:tmpl w:val="892864AE"/>
    <w:lvl w:ilvl="0" w:tplc="830E3C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8D3136"/>
    <w:multiLevelType w:val="hybridMultilevel"/>
    <w:tmpl w:val="3C62F3CC"/>
    <w:lvl w:ilvl="0" w:tplc="830E3CF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55947DF"/>
    <w:multiLevelType w:val="singleLevel"/>
    <w:tmpl w:val="660665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7" w15:restartNumberingAfterBreak="0">
    <w:nsid w:val="6C8D1BF2"/>
    <w:multiLevelType w:val="hybridMultilevel"/>
    <w:tmpl w:val="9C6C7AAC"/>
    <w:lvl w:ilvl="0" w:tplc="830E3C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E0731"/>
    <w:multiLevelType w:val="hybridMultilevel"/>
    <w:tmpl w:val="77B28C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6A770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2C278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7E6A7E7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7F163105"/>
    <w:multiLevelType w:val="hybridMultilevel"/>
    <w:tmpl w:val="1D0A7D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17"/>
  </w:num>
  <w:num w:numId="9">
    <w:abstractNumId w:val="9"/>
  </w:num>
  <w:num w:numId="10">
    <w:abstractNumId w:val="15"/>
  </w:num>
  <w:num w:numId="11">
    <w:abstractNumId w:val="7"/>
  </w:num>
  <w:num w:numId="12">
    <w:abstractNumId w:val="18"/>
  </w:num>
  <w:num w:numId="13">
    <w:abstractNumId w:val="2"/>
  </w:num>
  <w:num w:numId="14">
    <w:abstractNumId w:val="16"/>
  </w:num>
  <w:num w:numId="15">
    <w:abstractNumId w:val="21"/>
  </w:num>
  <w:num w:numId="16">
    <w:abstractNumId w:val="8"/>
  </w:num>
  <w:num w:numId="17">
    <w:abstractNumId w:val="10"/>
  </w:num>
  <w:num w:numId="18">
    <w:abstractNumId w:val="12"/>
  </w:num>
  <w:num w:numId="19">
    <w:abstractNumId w:val="0"/>
  </w:num>
  <w:num w:numId="20">
    <w:abstractNumId w:val="13"/>
  </w:num>
  <w:num w:numId="21">
    <w:abstractNumId w:val="5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91"/>
    <w:rsid w:val="000100C8"/>
    <w:rsid w:val="00013270"/>
    <w:rsid w:val="00025750"/>
    <w:rsid w:val="00056745"/>
    <w:rsid w:val="000640F1"/>
    <w:rsid w:val="00090ED8"/>
    <w:rsid w:val="000A091D"/>
    <w:rsid w:val="000B2D29"/>
    <w:rsid w:val="000D6659"/>
    <w:rsid w:val="00102DFA"/>
    <w:rsid w:val="00104052"/>
    <w:rsid w:val="001050C5"/>
    <w:rsid w:val="00136F3A"/>
    <w:rsid w:val="001548F4"/>
    <w:rsid w:val="00174090"/>
    <w:rsid w:val="00184EFD"/>
    <w:rsid w:val="001B1A23"/>
    <w:rsid w:val="001D09AD"/>
    <w:rsid w:val="001E5737"/>
    <w:rsid w:val="001F6D8E"/>
    <w:rsid w:val="00204A8E"/>
    <w:rsid w:val="002241C4"/>
    <w:rsid w:val="0023357F"/>
    <w:rsid w:val="0024531C"/>
    <w:rsid w:val="00251344"/>
    <w:rsid w:val="002616B8"/>
    <w:rsid w:val="002E1D43"/>
    <w:rsid w:val="002F6D79"/>
    <w:rsid w:val="003029F1"/>
    <w:rsid w:val="00361E6C"/>
    <w:rsid w:val="0036415C"/>
    <w:rsid w:val="00395C15"/>
    <w:rsid w:val="00397999"/>
    <w:rsid w:val="003A65C8"/>
    <w:rsid w:val="003B292B"/>
    <w:rsid w:val="003D511E"/>
    <w:rsid w:val="00462331"/>
    <w:rsid w:val="004B3FC6"/>
    <w:rsid w:val="004C65B5"/>
    <w:rsid w:val="004F6AAD"/>
    <w:rsid w:val="0050575E"/>
    <w:rsid w:val="005126FB"/>
    <w:rsid w:val="005367BF"/>
    <w:rsid w:val="00554320"/>
    <w:rsid w:val="0056531D"/>
    <w:rsid w:val="00580FF4"/>
    <w:rsid w:val="00590998"/>
    <w:rsid w:val="005C635C"/>
    <w:rsid w:val="005E22A9"/>
    <w:rsid w:val="005F1F72"/>
    <w:rsid w:val="00602255"/>
    <w:rsid w:val="0062417C"/>
    <w:rsid w:val="0063142D"/>
    <w:rsid w:val="006664A9"/>
    <w:rsid w:val="00671C9A"/>
    <w:rsid w:val="00671DAE"/>
    <w:rsid w:val="00685920"/>
    <w:rsid w:val="00690641"/>
    <w:rsid w:val="006A7D29"/>
    <w:rsid w:val="00706D8E"/>
    <w:rsid w:val="00710E53"/>
    <w:rsid w:val="00742ACD"/>
    <w:rsid w:val="00745C59"/>
    <w:rsid w:val="00747CDA"/>
    <w:rsid w:val="007510D4"/>
    <w:rsid w:val="007550D1"/>
    <w:rsid w:val="00761A5F"/>
    <w:rsid w:val="007738E6"/>
    <w:rsid w:val="00784F22"/>
    <w:rsid w:val="00786464"/>
    <w:rsid w:val="007B10D2"/>
    <w:rsid w:val="007C4561"/>
    <w:rsid w:val="007F3962"/>
    <w:rsid w:val="00802CDF"/>
    <w:rsid w:val="008139D5"/>
    <w:rsid w:val="0083093D"/>
    <w:rsid w:val="00834484"/>
    <w:rsid w:val="00844150"/>
    <w:rsid w:val="008525DF"/>
    <w:rsid w:val="008653D8"/>
    <w:rsid w:val="00890704"/>
    <w:rsid w:val="00890A6E"/>
    <w:rsid w:val="008A6579"/>
    <w:rsid w:val="008A7887"/>
    <w:rsid w:val="008B2EBD"/>
    <w:rsid w:val="008C11CD"/>
    <w:rsid w:val="008D3656"/>
    <w:rsid w:val="008E638C"/>
    <w:rsid w:val="008F750F"/>
    <w:rsid w:val="009439BA"/>
    <w:rsid w:val="0096610F"/>
    <w:rsid w:val="00985487"/>
    <w:rsid w:val="009C2759"/>
    <w:rsid w:val="009D5879"/>
    <w:rsid w:val="009F6E9C"/>
    <w:rsid w:val="00A33CE7"/>
    <w:rsid w:val="00A610A5"/>
    <w:rsid w:val="00A66B1B"/>
    <w:rsid w:val="00A738C8"/>
    <w:rsid w:val="00A871C7"/>
    <w:rsid w:val="00AA598C"/>
    <w:rsid w:val="00AD2CC9"/>
    <w:rsid w:val="00AE4012"/>
    <w:rsid w:val="00AE4533"/>
    <w:rsid w:val="00AE5900"/>
    <w:rsid w:val="00AF51EE"/>
    <w:rsid w:val="00B10F7A"/>
    <w:rsid w:val="00B45A18"/>
    <w:rsid w:val="00B477F8"/>
    <w:rsid w:val="00B47F72"/>
    <w:rsid w:val="00B52A88"/>
    <w:rsid w:val="00B84A12"/>
    <w:rsid w:val="00B84FFF"/>
    <w:rsid w:val="00BA0CD3"/>
    <w:rsid w:val="00BA6129"/>
    <w:rsid w:val="00BD33F9"/>
    <w:rsid w:val="00C173F2"/>
    <w:rsid w:val="00C33E3E"/>
    <w:rsid w:val="00C6090A"/>
    <w:rsid w:val="00C6519D"/>
    <w:rsid w:val="00C76303"/>
    <w:rsid w:val="00C8782C"/>
    <w:rsid w:val="00CA5786"/>
    <w:rsid w:val="00CC357B"/>
    <w:rsid w:val="00D10007"/>
    <w:rsid w:val="00D12DDD"/>
    <w:rsid w:val="00D12E2D"/>
    <w:rsid w:val="00D814D2"/>
    <w:rsid w:val="00D84A89"/>
    <w:rsid w:val="00D95082"/>
    <w:rsid w:val="00D9585B"/>
    <w:rsid w:val="00DB502A"/>
    <w:rsid w:val="00DE77EC"/>
    <w:rsid w:val="00DF4343"/>
    <w:rsid w:val="00E13591"/>
    <w:rsid w:val="00E17BDE"/>
    <w:rsid w:val="00E47A91"/>
    <w:rsid w:val="00E53945"/>
    <w:rsid w:val="00E76AA1"/>
    <w:rsid w:val="00E8109F"/>
    <w:rsid w:val="00E94AC0"/>
    <w:rsid w:val="00EA78B0"/>
    <w:rsid w:val="00EC3DCD"/>
    <w:rsid w:val="00EC51B4"/>
    <w:rsid w:val="00ED272D"/>
    <w:rsid w:val="00EF655D"/>
    <w:rsid w:val="00EF6791"/>
    <w:rsid w:val="00F169F2"/>
    <w:rsid w:val="00F27744"/>
    <w:rsid w:val="00F30CFB"/>
    <w:rsid w:val="00F44266"/>
    <w:rsid w:val="00F730CB"/>
    <w:rsid w:val="00F80C5A"/>
    <w:rsid w:val="00F81D5E"/>
    <w:rsid w:val="00F84901"/>
    <w:rsid w:val="00F90A5B"/>
    <w:rsid w:val="00F95E2A"/>
    <w:rsid w:val="00FA2C43"/>
    <w:rsid w:val="00FB66A9"/>
    <w:rsid w:val="02E26CAE"/>
    <w:rsid w:val="075F3E16"/>
    <w:rsid w:val="14732075"/>
    <w:rsid w:val="3250FD56"/>
    <w:rsid w:val="4333B060"/>
    <w:rsid w:val="5CB4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CF7C6"/>
  <w15:docId w15:val="{CE30D393-9FFA-4965-8C43-53BF519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2D"/>
  </w:style>
  <w:style w:type="paragraph" w:styleId="Heading1">
    <w:name w:val="heading 1"/>
    <w:basedOn w:val="Normal"/>
    <w:next w:val="Normal"/>
    <w:link w:val="Heading1Char"/>
    <w:qFormat/>
    <w:rsid w:val="00251344"/>
    <w:pPr>
      <w:keepNext/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  <w:tab w:val="left" w:pos="17280"/>
      </w:tabs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2E2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51344"/>
    <w:rPr>
      <w:rFonts w:ascii="Arial" w:hAnsi="Arial"/>
      <w:b/>
      <w:snapToGrid w:val="0"/>
      <w:color w:val="000000"/>
      <w:sz w:val="28"/>
    </w:rPr>
  </w:style>
  <w:style w:type="table" w:styleId="TableGrid">
    <w:name w:val="Table Grid"/>
    <w:basedOn w:val="TableNormal"/>
    <w:uiPriority w:val="59"/>
    <w:rsid w:val="00251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B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02DFA"/>
  </w:style>
  <w:style w:type="paragraph" w:styleId="BodyText">
    <w:name w:val="Body Text"/>
    <w:basedOn w:val="Normal"/>
    <w:link w:val="BodyTextChar"/>
    <w:rsid w:val="00EF655D"/>
    <w:pPr>
      <w:widowControl w:val="0"/>
      <w:tabs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EF655D"/>
    <w:rPr>
      <w:rFonts w:ascii="Arial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F6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4150"/>
    <w:rPr>
      <w:color w:val="808080"/>
    </w:rPr>
  </w:style>
  <w:style w:type="character" w:customStyle="1" w:styleId="normaltextrun">
    <w:name w:val="normaltextrun"/>
    <w:basedOn w:val="DefaultParagraphFont"/>
    <w:rsid w:val="00184EFD"/>
  </w:style>
  <w:style w:type="character" w:customStyle="1" w:styleId="eop">
    <w:name w:val="eop"/>
    <w:basedOn w:val="DefaultParagraphFont"/>
    <w:rsid w:val="0018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FA22-63B2-48BA-9D0A-5C730681BCE8}"/>
      </w:docPartPr>
      <w:docPartBody>
        <w:p w:rsidR="005510D3" w:rsidRDefault="000B2D29">
          <w:r w:rsidRPr="00147267">
            <w:rPr>
              <w:rStyle w:val="PlaceholderText"/>
            </w:rPr>
            <w:t>Click here to enter text.</w:t>
          </w:r>
        </w:p>
      </w:docPartBody>
    </w:docPart>
    <w:docPart>
      <w:docPartPr>
        <w:name w:val="3DBC6C6F001C479A9056F5A1E1B6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9617-F170-4E8F-A4EA-E45E6A0B4C18}"/>
      </w:docPartPr>
      <w:docPartBody>
        <w:p w:rsidR="005510D3" w:rsidRDefault="000B2D29" w:rsidP="000B2D29">
          <w:pPr>
            <w:pStyle w:val="3DBC6C6F001C479A9056F5A1E1B67A68"/>
          </w:pPr>
          <w:r w:rsidRPr="001472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29"/>
    <w:rsid w:val="000B2D29"/>
    <w:rsid w:val="005510D3"/>
    <w:rsid w:val="0061513A"/>
    <w:rsid w:val="0071625E"/>
    <w:rsid w:val="00A86EB2"/>
    <w:rsid w:val="00D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D29"/>
    <w:rPr>
      <w:color w:val="808080"/>
    </w:rPr>
  </w:style>
  <w:style w:type="paragraph" w:customStyle="1" w:styleId="B2E087AFDE804F40A28639C782AE89F5">
    <w:name w:val="B2E087AFDE804F40A28639C782AE89F5"/>
    <w:rsid w:val="000B2D29"/>
  </w:style>
  <w:style w:type="paragraph" w:customStyle="1" w:styleId="3DBC6C6F001C479A9056F5A1E1B67A68">
    <w:name w:val="3DBC6C6F001C479A9056F5A1E1B67A68"/>
    <w:rsid w:val="000B2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AAE4608EB2245963D8E21546481D9" ma:contentTypeVersion="4" ma:contentTypeDescription="Create a new document." ma:contentTypeScope="" ma:versionID="ef25e91fa861946942263c56dae7e23a">
  <xsd:schema xmlns:xsd="http://www.w3.org/2001/XMLSchema" xmlns:xs="http://www.w3.org/2001/XMLSchema" xmlns:p="http://schemas.microsoft.com/office/2006/metadata/properties" xmlns:ns2="c1855f86-8e60-4779-ba4d-ec468bd8f916" targetNamespace="http://schemas.microsoft.com/office/2006/metadata/properties" ma:root="true" ma:fieldsID="31403057ca58550ae7d006edbabf1f57" ns2:_="">
    <xsd:import namespace="c1855f86-8e60-4779-ba4d-ec468bd8f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5f86-8e60-4779-ba4d-ec468bd8f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C2C53-B751-4D29-87C6-BE30C4E92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4B4BF-25F7-45B1-90EE-77496F574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F4EA9-96D0-42EF-BC89-5BF59DBA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55f86-8e60-4779-ba4d-ec468bd8f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30700-F8BD-41A9-9A31-900480AA10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HOME LOAN BANK OF INDIANAPOLIS</vt:lpstr>
    </vt:vector>
  </TitlesOfParts>
  <Company>Federal Home Loan Bank of Indianapolis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HOME LOAN BANK OF INDIANAPOLIS</dc:title>
  <dc:creator>FHLB Win95 User</dc:creator>
  <dc:description>Job Description IO-5063 - Division Head ISO</dc:description>
  <cp:lastModifiedBy>Huddleston, Tosha</cp:lastModifiedBy>
  <cp:revision>3</cp:revision>
  <cp:lastPrinted>2014-01-21T19:44:00Z</cp:lastPrinted>
  <dcterms:created xsi:type="dcterms:W3CDTF">2021-06-07T19:53:00Z</dcterms:created>
  <dcterms:modified xsi:type="dcterms:W3CDTF">2021-06-07T19:55:00Z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0x010100287AAE4608EB2245963D8E21546481D9</vt:lpwstr>
  </property>
  <property fmtid="{D5CDD505-2E9C-101B-9397-08002B2CF9AE}" pid="3" name="MSIP_Label_c836509b-af46-4fec-8aaa-151a891db399_Enabled">
    <vt:lpwstr>true</vt:lpwstr>
  </property>
  <property fmtid="{D5CDD505-2E9C-101B-9397-08002B2CF9AE}" pid="4" name="MSIP_Label_c836509b-af46-4fec-8aaa-151a891db399_SetDate">
    <vt:lpwstr>2021-05-10T22:28:13Z</vt:lpwstr>
  </property>
  <property fmtid="{D5CDD505-2E9C-101B-9397-08002B2CF9AE}" pid="5" name="MSIP_Label_c836509b-af46-4fec-8aaa-151a891db399_Method">
    <vt:lpwstr>Standard</vt:lpwstr>
  </property>
  <property fmtid="{D5CDD505-2E9C-101B-9397-08002B2CF9AE}" pid="6" name="MSIP_Label_c836509b-af46-4fec-8aaa-151a891db399_Name">
    <vt:lpwstr>Internal</vt:lpwstr>
  </property>
  <property fmtid="{D5CDD505-2E9C-101B-9397-08002B2CF9AE}" pid="7" name="MSIP_Label_c836509b-af46-4fec-8aaa-151a891db399_SiteId">
    <vt:lpwstr>b61c7997-54b1-4f99-82c7-d392d0d4a7f1</vt:lpwstr>
  </property>
  <property fmtid="{D5CDD505-2E9C-101B-9397-08002B2CF9AE}" pid="8" name="MSIP_Label_c836509b-af46-4fec-8aaa-151a891db399_ActionId">
    <vt:lpwstr>8cf8be48-14b4-474f-a1d2-5a87a6af1328</vt:lpwstr>
  </property>
  <property fmtid="{D5CDD505-2E9C-101B-9397-08002B2CF9AE}" pid="9" name="MSIP_Label_c836509b-af46-4fec-8aaa-151a891db399_ContentBits">
    <vt:lpwstr>0</vt:lpwstr>
  </property>
</Properties>
</file>